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F34B" w14:textId="77777777" w:rsidR="00B80C83" w:rsidRDefault="00B80C83"/>
    <w:p w14:paraId="59E12CA9" w14:textId="21436FEE" w:rsidR="00436242" w:rsidRDefault="001D4AFC" w:rsidP="00B80C83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R</w:t>
      </w:r>
      <w:r w:rsidR="002A4BB0">
        <w:rPr>
          <w:rFonts w:ascii="Calibri" w:hAnsi="Calibri" w:cs="Calibri"/>
          <w:b/>
          <w:bCs/>
          <w:sz w:val="32"/>
          <w:szCs w:val="32"/>
        </w:rPr>
        <w:t>ichtlijn</w:t>
      </w:r>
      <w:r w:rsidR="00315C22"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D6308B" w:rsidRPr="00D6308B">
        <w:rPr>
          <w:rFonts w:ascii="Calibri" w:hAnsi="Calibri" w:cs="Calibri"/>
          <w:b/>
          <w:bCs/>
          <w:sz w:val="32"/>
          <w:szCs w:val="32"/>
        </w:rPr>
        <w:t>Formulier</w:t>
      </w:r>
      <w:r w:rsidR="00315C22">
        <w:rPr>
          <w:rFonts w:ascii="Calibri" w:hAnsi="Calibri" w:cs="Calibri"/>
          <w:b/>
          <w:bCs/>
          <w:sz w:val="32"/>
          <w:szCs w:val="32"/>
        </w:rPr>
        <w:t xml:space="preserve"> s</w:t>
      </w:r>
      <w:r w:rsidR="00B80C83" w:rsidRPr="00D6308B">
        <w:rPr>
          <w:rFonts w:ascii="Calibri" w:hAnsi="Calibri" w:cs="Calibri"/>
          <w:b/>
          <w:bCs/>
          <w:sz w:val="32"/>
          <w:szCs w:val="32"/>
        </w:rPr>
        <w:t xml:space="preserve">tart of </w:t>
      </w:r>
      <w:r w:rsidR="00315C22">
        <w:rPr>
          <w:rFonts w:ascii="Calibri" w:hAnsi="Calibri" w:cs="Calibri"/>
          <w:b/>
          <w:bCs/>
          <w:sz w:val="32"/>
          <w:szCs w:val="32"/>
        </w:rPr>
        <w:t>r</w:t>
      </w:r>
      <w:r w:rsidR="00B80C83" w:rsidRPr="00D6308B">
        <w:rPr>
          <w:rFonts w:ascii="Calibri" w:hAnsi="Calibri" w:cs="Calibri"/>
          <w:b/>
          <w:bCs/>
          <w:sz w:val="32"/>
          <w:szCs w:val="32"/>
        </w:rPr>
        <w:t xml:space="preserve">evisie </w:t>
      </w:r>
      <w:r>
        <w:rPr>
          <w:rFonts w:ascii="Calibri" w:hAnsi="Calibri" w:cs="Calibri"/>
          <w:b/>
          <w:bCs/>
          <w:sz w:val="32"/>
          <w:szCs w:val="32"/>
        </w:rPr>
        <w:t xml:space="preserve">hematologische </w:t>
      </w:r>
      <w:r w:rsidR="00315C22">
        <w:rPr>
          <w:rFonts w:ascii="Calibri" w:hAnsi="Calibri" w:cs="Calibri"/>
          <w:b/>
          <w:bCs/>
          <w:sz w:val="32"/>
          <w:szCs w:val="32"/>
        </w:rPr>
        <w:t>r</w:t>
      </w:r>
      <w:r w:rsidR="00B80C83" w:rsidRPr="00D6308B">
        <w:rPr>
          <w:rFonts w:ascii="Calibri" w:hAnsi="Calibri" w:cs="Calibri"/>
          <w:b/>
          <w:bCs/>
          <w:sz w:val="32"/>
          <w:szCs w:val="32"/>
        </w:rPr>
        <w:t>ichtlijn</w:t>
      </w:r>
      <w:r w:rsidR="00D6308B" w:rsidRPr="00D6308B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46290D20" w14:textId="77777777" w:rsidR="00531DDE" w:rsidRPr="00531DDE" w:rsidRDefault="00531DDE" w:rsidP="00531DDE">
      <w:pPr>
        <w:spacing w:line="240" w:lineRule="auto"/>
        <w:jc w:val="center"/>
        <w:rPr>
          <w:rFonts w:ascii="Calibri" w:hAnsi="Calibri" w:cs="Calibri"/>
          <w:i/>
          <w:iCs/>
          <w:sz w:val="28"/>
          <w:szCs w:val="28"/>
        </w:rPr>
      </w:pPr>
      <w:r w:rsidRPr="00531DDE">
        <w:rPr>
          <w:rFonts w:ascii="Calibri" w:hAnsi="Calibri" w:cs="Calibri"/>
          <w:i/>
          <w:iCs/>
          <w:sz w:val="28"/>
          <w:szCs w:val="28"/>
        </w:rPr>
        <w:t>Vriendelijk verzoek om dit formulier ingevuld te retourneren naar:</w:t>
      </w:r>
      <w:r w:rsidRPr="00531DDE">
        <w:rPr>
          <w:rFonts w:ascii="Calibri" w:hAnsi="Calibri" w:cs="Calibri"/>
          <w:i/>
          <w:iCs/>
          <w:sz w:val="28"/>
          <w:szCs w:val="28"/>
        </w:rPr>
        <w:br/>
        <w:t xml:space="preserve"> </w:t>
      </w:r>
      <w:hyperlink r:id="rId10" w:history="1">
        <w:r w:rsidRPr="00531DDE">
          <w:rPr>
            <w:rStyle w:val="Hyperlink"/>
            <w:rFonts w:ascii="Calibri" w:hAnsi="Calibri" w:cs="Calibri"/>
            <w:i/>
            <w:iCs/>
            <w:sz w:val="28"/>
            <w:szCs w:val="28"/>
          </w:rPr>
          <w:t>info@hematologienederland.nl</w:t>
        </w:r>
      </w:hyperlink>
      <w:r w:rsidRPr="00531DDE">
        <w:rPr>
          <w:rFonts w:ascii="Calibri" w:hAnsi="Calibri" w:cs="Calibri"/>
          <w:i/>
          <w:iCs/>
          <w:sz w:val="28"/>
          <w:szCs w:val="28"/>
        </w:rPr>
        <w:t xml:space="preserve"> </w:t>
      </w:r>
    </w:p>
    <w:p w14:paraId="2D21D047" w14:textId="77777777" w:rsidR="003D1C9E" w:rsidRPr="00D6308B" w:rsidRDefault="003D1C9E" w:rsidP="00B80C83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9497"/>
      </w:tblGrid>
      <w:tr w:rsidR="00250E91" w14:paraId="4361980F" w14:textId="77777777" w:rsidTr="00084752">
        <w:tc>
          <w:tcPr>
            <w:tcW w:w="3823" w:type="dxa"/>
          </w:tcPr>
          <w:p w14:paraId="6C748B51" w14:textId="77777777" w:rsidR="00250E91" w:rsidRDefault="00250E91" w:rsidP="00250E91">
            <w:pPr>
              <w:rPr>
                <w:rFonts w:ascii="Calibri" w:hAnsi="Calibri" w:cs="Calibri"/>
                <w:sz w:val="24"/>
                <w:szCs w:val="24"/>
              </w:rPr>
            </w:pPr>
            <w:r w:rsidRPr="00250E91">
              <w:rPr>
                <w:rFonts w:ascii="Calibri" w:hAnsi="Calibri" w:cs="Calibri"/>
                <w:sz w:val="24"/>
                <w:szCs w:val="24"/>
              </w:rPr>
              <w:t>Titel van de richtlijn:</w:t>
            </w:r>
          </w:p>
          <w:p w14:paraId="0B951DE4" w14:textId="64F2B960" w:rsidR="00BA4350" w:rsidRPr="00250E91" w:rsidRDefault="00BA4350" w:rsidP="00250E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97" w:type="dxa"/>
          </w:tcPr>
          <w:p w14:paraId="72A87371" w14:textId="77777777" w:rsidR="00250E91" w:rsidRDefault="00250E91" w:rsidP="00250E91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250E91" w:rsidRPr="00250E91" w14:paraId="0FE95128" w14:textId="77777777" w:rsidTr="00084752">
        <w:tc>
          <w:tcPr>
            <w:tcW w:w="3823" w:type="dxa"/>
          </w:tcPr>
          <w:p w14:paraId="542EF4F3" w14:textId="77777777" w:rsidR="00250E91" w:rsidRDefault="00250E91" w:rsidP="00250E91">
            <w:pPr>
              <w:rPr>
                <w:rFonts w:ascii="Calibri" w:hAnsi="Calibri" w:cs="Calibri"/>
                <w:sz w:val="24"/>
                <w:szCs w:val="24"/>
              </w:rPr>
            </w:pPr>
            <w:r w:rsidRPr="00250E91">
              <w:rPr>
                <w:rFonts w:ascii="Calibri" w:hAnsi="Calibri" w:cs="Calibri"/>
                <w:sz w:val="24"/>
                <w:szCs w:val="24"/>
              </w:rPr>
              <w:t>Initiatiefnemer van de richtlijn(revisie)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2134168" w14:textId="0AEF2183" w:rsidR="00DB75E1" w:rsidRPr="00250E91" w:rsidRDefault="00DB75E1" w:rsidP="00250E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97" w:type="dxa"/>
          </w:tcPr>
          <w:p w14:paraId="07C0F0FA" w14:textId="57493334" w:rsidR="00250E91" w:rsidRPr="00250E91" w:rsidRDefault="00250E91" w:rsidP="00250E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0E91" w:rsidRPr="00250E91" w14:paraId="438A87BA" w14:textId="77777777" w:rsidTr="00084752">
        <w:tc>
          <w:tcPr>
            <w:tcW w:w="3823" w:type="dxa"/>
          </w:tcPr>
          <w:p w14:paraId="1A4A417F" w14:textId="35AC4DC0" w:rsidR="00250E91" w:rsidRDefault="00250E91" w:rsidP="00250E91">
            <w:pPr>
              <w:rPr>
                <w:rFonts w:ascii="Calibri" w:hAnsi="Calibri" w:cs="Calibri"/>
                <w:sz w:val="24"/>
                <w:szCs w:val="24"/>
              </w:rPr>
            </w:pPr>
            <w:r w:rsidRPr="00250E91">
              <w:rPr>
                <w:rFonts w:ascii="Calibri" w:hAnsi="Calibri" w:cs="Calibri"/>
                <w:sz w:val="24"/>
                <w:szCs w:val="24"/>
              </w:rPr>
              <w:t xml:space="preserve">Naam </w:t>
            </w:r>
            <w:r w:rsidR="00D6308B">
              <w:rPr>
                <w:rFonts w:ascii="Calibri" w:hAnsi="Calibri" w:cs="Calibri"/>
                <w:sz w:val="24"/>
                <w:szCs w:val="24"/>
              </w:rPr>
              <w:t xml:space="preserve">en contactgegevens </w:t>
            </w:r>
            <w:r w:rsidRPr="00250E91">
              <w:rPr>
                <w:rFonts w:ascii="Calibri" w:hAnsi="Calibri" w:cs="Calibri"/>
                <w:sz w:val="24"/>
                <w:szCs w:val="24"/>
              </w:rPr>
              <w:t>voorzitter van de richtlijnwerkgroep:</w:t>
            </w:r>
          </w:p>
          <w:p w14:paraId="27F65165" w14:textId="612FCD54" w:rsidR="00DB75E1" w:rsidRPr="00250E91" w:rsidRDefault="00DB75E1" w:rsidP="00250E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97" w:type="dxa"/>
          </w:tcPr>
          <w:p w14:paraId="2F9D6077" w14:textId="77777777" w:rsidR="00250E91" w:rsidRPr="00250E91" w:rsidRDefault="00250E91" w:rsidP="00250E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0E91" w:rsidRPr="00250E91" w14:paraId="2CD98B50" w14:textId="77777777" w:rsidTr="00084752">
        <w:tc>
          <w:tcPr>
            <w:tcW w:w="3823" w:type="dxa"/>
          </w:tcPr>
          <w:p w14:paraId="14E8E236" w14:textId="77777777" w:rsidR="00037412" w:rsidRDefault="00250E91" w:rsidP="00250E91">
            <w:pPr>
              <w:rPr>
                <w:rFonts w:ascii="Calibri" w:hAnsi="Calibri" w:cs="Calibri"/>
                <w:sz w:val="24"/>
                <w:szCs w:val="24"/>
              </w:rPr>
            </w:pPr>
            <w:r w:rsidRPr="00250E91">
              <w:rPr>
                <w:rFonts w:ascii="Calibri" w:hAnsi="Calibri" w:cs="Calibri"/>
                <w:sz w:val="24"/>
                <w:szCs w:val="24"/>
              </w:rPr>
              <w:t xml:space="preserve">Samenstelling van de richtlijnwerkgroep </w:t>
            </w:r>
          </w:p>
          <w:p w14:paraId="2CDAAAF7" w14:textId="2CE0885F" w:rsidR="00B0244A" w:rsidRDefault="00250E91" w:rsidP="00250E91">
            <w:pPr>
              <w:rPr>
                <w:rFonts w:ascii="Calibri" w:hAnsi="Calibri" w:cs="Calibri"/>
                <w:sz w:val="24"/>
                <w:szCs w:val="24"/>
              </w:rPr>
            </w:pPr>
            <w:r w:rsidRPr="00250E91">
              <w:rPr>
                <w:rFonts w:ascii="Calibri" w:hAnsi="Calibri" w:cs="Calibri"/>
                <w:sz w:val="24"/>
                <w:szCs w:val="24"/>
              </w:rPr>
              <w:t xml:space="preserve">(vermeld </w:t>
            </w:r>
            <w:r w:rsidR="00037412">
              <w:rPr>
                <w:rFonts w:ascii="Calibri" w:hAnsi="Calibri" w:cs="Calibri"/>
                <w:sz w:val="24"/>
                <w:szCs w:val="24"/>
              </w:rPr>
              <w:t>z</w:t>
            </w:r>
            <w:r w:rsidRPr="00250E91">
              <w:rPr>
                <w:rFonts w:ascii="Calibri" w:hAnsi="Calibri" w:cs="Calibri"/>
                <w:sz w:val="24"/>
                <w:szCs w:val="24"/>
              </w:rPr>
              <w:t xml:space="preserve">owel </w:t>
            </w:r>
            <w:r w:rsidR="00056042">
              <w:rPr>
                <w:rFonts w:ascii="Calibri" w:hAnsi="Calibri" w:cs="Calibri"/>
                <w:sz w:val="24"/>
                <w:szCs w:val="24"/>
              </w:rPr>
              <w:t>internist-</w:t>
            </w:r>
            <w:r w:rsidR="006D7FBE">
              <w:rPr>
                <w:rFonts w:ascii="Calibri" w:hAnsi="Calibri" w:cs="Calibri"/>
                <w:sz w:val="24"/>
                <w:szCs w:val="24"/>
              </w:rPr>
              <w:t>hematologen/verpleegkundig specialisten</w:t>
            </w:r>
            <w:r w:rsidRPr="00250E91">
              <w:rPr>
                <w:rFonts w:ascii="Calibri" w:hAnsi="Calibri" w:cs="Calibri"/>
                <w:sz w:val="24"/>
                <w:szCs w:val="24"/>
              </w:rPr>
              <w:t xml:space="preserve"> als</w:t>
            </w:r>
            <w:r w:rsidR="006D7FBE">
              <w:rPr>
                <w:rFonts w:ascii="Calibri" w:hAnsi="Calibri" w:cs="Calibri"/>
                <w:sz w:val="24"/>
                <w:szCs w:val="24"/>
              </w:rPr>
              <w:t xml:space="preserve"> leden</w:t>
            </w:r>
            <w:r w:rsidRPr="00250E91">
              <w:rPr>
                <w:rFonts w:ascii="Calibri" w:hAnsi="Calibri" w:cs="Calibri"/>
                <w:sz w:val="24"/>
                <w:szCs w:val="24"/>
              </w:rPr>
              <w:t xml:space="preserve"> van andere wetenschappelijke verenigingen</w:t>
            </w:r>
            <w:r w:rsidR="00037412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Pr="00250E91">
              <w:rPr>
                <w:rFonts w:ascii="Calibri" w:hAnsi="Calibri" w:cs="Calibri"/>
                <w:sz w:val="24"/>
                <w:szCs w:val="24"/>
              </w:rPr>
              <w:t>indien van toepassing</w:t>
            </w:r>
            <w:r w:rsidR="00037412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 w:rsidR="004D5E8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3049633" w14:textId="75E97850" w:rsidR="00250E91" w:rsidRDefault="004D5E84" w:rsidP="00250E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 de vertegenwoordiger</w:t>
            </w:r>
            <w:r w:rsidR="00B0244A"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B0244A">
              <w:rPr>
                <w:rFonts w:ascii="Calibri" w:hAnsi="Calibri" w:cs="Calibri"/>
                <w:sz w:val="24"/>
                <w:szCs w:val="24"/>
              </w:rPr>
              <w:t>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van </w:t>
            </w:r>
            <w:r w:rsidR="00B0244A">
              <w:rPr>
                <w:rFonts w:ascii="Calibri" w:hAnsi="Calibri" w:cs="Calibri"/>
                <w:sz w:val="24"/>
                <w:szCs w:val="24"/>
              </w:rPr>
              <w:t xml:space="preserve">de betrokken </w:t>
            </w:r>
            <w:r w:rsidR="00037412">
              <w:rPr>
                <w:rFonts w:ascii="Calibri" w:hAnsi="Calibri" w:cs="Calibri"/>
                <w:sz w:val="24"/>
                <w:szCs w:val="24"/>
              </w:rPr>
              <w:t>patiëntenvereniging</w:t>
            </w:r>
            <w:r w:rsidR="00B0244A">
              <w:rPr>
                <w:rFonts w:ascii="Calibri" w:hAnsi="Calibri" w:cs="Calibri"/>
                <w:sz w:val="24"/>
                <w:szCs w:val="24"/>
              </w:rPr>
              <w:t>(en)</w:t>
            </w:r>
            <w:r w:rsidR="006D7FBE">
              <w:rPr>
                <w:rFonts w:ascii="Calibri" w:hAnsi="Calibri" w:cs="Calibri"/>
                <w:sz w:val="24"/>
                <w:szCs w:val="24"/>
              </w:rPr>
              <w:t>)</w:t>
            </w:r>
            <w:r w:rsidR="00B0244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120CCDE" w14:textId="178B5736" w:rsidR="00DB75E1" w:rsidRPr="00250E91" w:rsidRDefault="00DB75E1" w:rsidP="00250E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97" w:type="dxa"/>
          </w:tcPr>
          <w:p w14:paraId="585E9AD3" w14:textId="344A4D1F" w:rsidR="00D6308B" w:rsidRDefault="00D6308B" w:rsidP="00E7257B">
            <w:pPr>
              <w:pStyle w:val="Lijstalinea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3"/>
              <w:gridCol w:w="1853"/>
              <w:gridCol w:w="1855"/>
              <w:gridCol w:w="1853"/>
              <w:gridCol w:w="1857"/>
            </w:tblGrid>
            <w:tr w:rsidR="00DA5A39" w:rsidRPr="004E1F43" w14:paraId="5C573BFE" w14:textId="77777777" w:rsidTr="00A21F8D">
              <w:tc>
                <w:tcPr>
                  <w:tcW w:w="1857" w:type="dxa"/>
                  <w:shd w:val="clear" w:color="auto" w:fill="auto"/>
                </w:tcPr>
                <w:p w14:paraId="4066756E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  <w:r w:rsidRPr="004E1F43">
                    <w:rPr>
                      <w:rFonts w:eastAsia="Times New Roman"/>
                      <w:b/>
                      <w:sz w:val="18"/>
                      <w:szCs w:val="24"/>
                    </w:rPr>
                    <w:t>Naam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5B3E291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  <w:r w:rsidRPr="004E1F43">
                    <w:rPr>
                      <w:rFonts w:eastAsia="Times New Roman"/>
                      <w:b/>
                      <w:sz w:val="18"/>
                      <w:szCs w:val="24"/>
                    </w:rPr>
                    <w:t>Functie</w:t>
                  </w:r>
                </w:p>
              </w:tc>
              <w:tc>
                <w:tcPr>
                  <w:tcW w:w="1858" w:type="dxa"/>
                  <w:shd w:val="clear" w:color="auto" w:fill="auto"/>
                </w:tcPr>
                <w:p w14:paraId="510793D7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  <w:r w:rsidRPr="004E1F43">
                    <w:rPr>
                      <w:rFonts w:eastAsia="Times New Roman"/>
                      <w:b/>
                      <w:sz w:val="18"/>
                      <w:szCs w:val="24"/>
                    </w:rPr>
                    <w:t>Organisatie</w:t>
                  </w:r>
                </w:p>
              </w:tc>
              <w:tc>
                <w:tcPr>
                  <w:tcW w:w="1858" w:type="dxa"/>
                  <w:shd w:val="clear" w:color="auto" w:fill="auto"/>
                </w:tcPr>
                <w:p w14:paraId="2ABF7DAB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  <w:r w:rsidRPr="004E1F43">
                    <w:rPr>
                      <w:rFonts w:eastAsia="Times New Roman"/>
                      <w:b/>
                      <w:sz w:val="18"/>
                      <w:szCs w:val="24"/>
                    </w:rPr>
                    <w:t>Rol</w:t>
                  </w:r>
                </w:p>
              </w:tc>
              <w:tc>
                <w:tcPr>
                  <w:tcW w:w="1858" w:type="dxa"/>
                  <w:shd w:val="clear" w:color="auto" w:fill="auto"/>
                </w:tcPr>
                <w:p w14:paraId="0F44C571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  <w:r w:rsidRPr="004E1F43">
                    <w:rPr>
                      <w:rFonts w:eastAsia="Times New Roman"/>
                      <w:b/>
                      <w:sz w:val="18"/>
                      <w:szCs w:val="24"/>
                    </w:rPr>
                    <w:t>Belangenconflict</w:t>
                  </w:r>
                </w:p>
              </w:tc>
            </w:tr>
            <w:tr w:rsidR="00DA5A39" w:rsidRPr="004E1F43" w14:paraId="25C6FBC7" w14:textId="77777777" w:rsidTr="00A21F8D">
              <w:tc>
                <w:tcPr>
                  <w:tcW w:w="1857" w:type="dxa"/>
                  <w:shd w:val="clear" w:color="auto" w:fill="auto"/>
                </w:tcPr>
                <w:p w14:paraId="19A5651B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i/>
                      <w:sz w:val="18"/>
                      <w:szCs w:val="24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79246A83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i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05171C27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i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629FC1AF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i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25D63549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i/>
                      <w:sz w:val="18"/>
                      <w:szCs w:val="24"/>
                    </w:rPr>
                  </w:pPr>
                </w:p>
              </w:tc>
            </w:tr>
            <w:tr w:rsidR="00DA5A39" w:rsidRPr="004E1F43" w14:paraId="4B6DC41A" w14:textId="77777777" w:rsidTr="00A21F8D">
              <w:tc>
                <w:tcPr>
                  <w:tcW w:w="1857" w:type="dxa"/>
                  <w:shd w:val="clear" w:color="auto" w:fill="auto"/>
                </w:tcPr>
                <w:p w14:paraId="5DB5B4FE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1EED5ADA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12C32A3A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i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64379C0E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446AACA3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</w:tr>
            <w:tr w:rsidR="00DA5A39" w:rsidRPr="004E1F43" w14:paraId="4DFBCAB5" w14:textId="77777777" w:rsidTr="00A21F8D">
              <w:tc>
                <w:tcPr>
                  <w:tcW w:w="1857" w:type="dxa"/>
                  <w:shd w:val="clear" w:color="auto" w:fill="auto"/>
                </w:tcPr>
                <w:p w14:paraId="4D08FFF2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6D4FD355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2A6B5DB7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i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73F6F671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64593965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</w:tr>
            <w:tr w:rsidR="00DA5A39" w:rsidRPr="004E1F43" w14:paraId="708A1292" w14:textId="77777777" w:rsidTr="00A21F8D">
              <w:tc>
                <w:tcPr>
                  <w:tcW w:w="1857" w:type="dxa"/>
                  <w:shd w:val="clear" w:color="auto" w:fill="auto"/>
                </w:tcPr>
                <w:p w14:paraId="4F9C54A0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3B6753EB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060B3764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7758A2B5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1E67007A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</w:tr>
            <w:tr w:rsidR="00DA5A39" w:rsidRPr="004E1F43" w14:paraId="60108D10" w14:textId="77777777" w:rsidTr="00A21F8D">
              <w:tc>
                <w:tcPr>
                  <w:tcW w:w="1857" w:type="dxa"/>
                  <w:shd w:val="clear" w:color="auto" w:fill="auto"/>
                </w:tcPr>
                <w:p w14:paraId="7BF76B76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5DE29AF5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595F840A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40596812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40FA5EB8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</w:tr>
            <w:tr w:rsidR="00DA5A39" w:rsidRPr="004E1F43" w14:paraId="250EE029" w14:textId="77777777" w:rsidTr="00A21F8D">
              <w:tc>
                <w:tcPr>
                  <w:tcW w:w="1857" w:type="dxa"/>
                  <w:shd w:val="clear" w:color="auto" w:fill="auto"/>
                </w:tcPr>
                <w:p w14:paraId="76007EF1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0C12E57B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4BFA51F6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5D271FA2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40F57ED1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</w:tr>
            <w:tr w:rsidR="00DA5A39" w:rsidRPr="004E1F43" w14:paraId="2BC5E9FB" w14:textId="77777777" w:rsidTr="00A21F8D">
              <w:tc>
                <w:tcPr>
                  <w:tcW w:w="1857" w:type="dxa"/>
                  <w:shd w:val="clear" w:color="auto" w:fill="auto"/>
                </w:tcPr>
                <w:p w14:paraId="46BA3C44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7" w:type="dxa"/>
                  <w:shd w:val="clear" w:color="auto" w:fill="auto"/>
                </w:tcPr>
                <w:p w14:paraId="71A6DF75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29D774C8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49A7D813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14:paraId="47192C51" w14:textId="77777777" w:rsidR="00DA5A39" w:rsidRPr="004E1F43" w:rsidRDefault="00DA5A39" w:rsidP="00DA5A39">
                  <w:pPr>
                    <w:spacing w:after="0" w:line="240" w:lineRule="auto"/>
                    <w:rPr>
                      <w:rFonts w:eastAsia="Times New Roman"/>
                      <w:b/>
                      <w:sz w:val="18"/>
                      <w:szCs w:val="24"/>
                    </w:rPr>
                  </w:pPr>
                </w:p>
              </w:tc>
            </w:tr>
          </w:tbl>
          <w:p w14:paraId="326020DD" w14:textId="77F04A48" w:rsidR="00DA5A39" w:rsidRPr="00250E91" w:rsidRDefault="00DA5A39" w:rsidP="00E7257B">
            <w:pPr>
              <w:pStyle w:val="Lijstalinea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A4350" w:rsidRPr="00250E91" w14:paraId="77CA47DF" w14:textId="77777777" w:rsidTr="00084752">
        <w:tc>
          <w:tcPr>
            <w:tcW w:w="3823" w:type="dxa"/>
          </w:tcPr>
          <w:p w14:paraId="0BB95DB9" w14:textId="77777777" w:rsidR="00BA4350" w:rsidRDefault="00BA4350" w:rsidP="00250E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Belangenverklaringen </w:t>
            </w:r>
          </w:p>
          <w:p w14:paraId="471DF4D4" w14:textId="77777777" w:rsidR="00D6308B" w:rsidRDefault="00D6308B" w:rsidP="00250E9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76CE99F" w14:textId="69DA703A" w:rsidR="00BA4350" w:rsidRPr="00250E91" w:rsidRDefault="00D6308B" w:rsidP="006D7FBE">
            <w:pPr>
              <w:rPr>
                <w:rFonts w:ascii="Calibri" w:hAnsi="Calibri" w:cs="Calibri"/>
                <w:sz w:val="24"/>
                <w:szCs w:val="24"/>
              </w:rPr>
            </w:pPr>
            <w:r w:rsidRPr="00D6308B">
              <w:rPr>
                <w:rFonts w:ascii="Calibri" w:hAnsi="Calibri" w:cs="Calibri"/>
                <w:sz w:val="24"/>
                <w:szCs w:val="24"/>
              </w:rPr>
              <w:t xml:space="preserve">Conform het FMS richtlijnenadvies is het belangrijk dat voor de </w:t>
            </w:r>
            <w:r w:rsidRPr="00D6308B">
              <w:rPr>
                <w:rFonts w:ascii="Calibri" w:hAnsi="Calibri" w:cs="Calibri"/>
                <w:sz w:val="24"/>
                <w:szCs w:val="24"/>
              </w:rPr>
              <w:lastRenderedPageBreak/>
              <w:t>ontwikkeling van hematologische richtlijnen eventuele belangen van de werkgroepleden</w:t>
            </w:r>
            <w:r w:rsidR="00F8052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6308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84752">
              <w:rPr>
                <w:rFonts w:ascii="Calibri" w:hAnsi="Calibri" w:cs="Calibri"/>
                <w:sz w:val="24"/>
                <w:szCs w:val="24"/>
              </w:rPr>
              <w:t>g</w:t>
            </w:r>
            <w:r w:rsidRPr="00D6308B">
              <w:rPr>
                <w:rFonts w:ascii="Calibri" w:hAnsi="Calibri" w:cs="Calibri"/>
                <w:sz w:val="24"/>
                <w:szCs w:val="24"/>
              </w:rPr>
              <w:t>eïnventariseerd en vastgelegd worden</w:t>
            </w:r>
            <w:r w:rsidR="002B43B2">
              <w:rPr>
                <w:rFonts w:ascii="Calibri" w:hAnsi="Calibri" w:cs="Calibri"/>
                <w:sz w:val="24"/>
                <w:szCs w:val="24"/>
              </w:rPr>
              <w:t xml:space="preserve">. Tijdens de eerste vergadering zullen deze belangen besproken en gewogen worden (zie </w:t>
            </w:r>
            <w:r w:rsidR="00CE02D0">
              <w:rPr>
                <w:rFonts w:ascii="Calibri" w:hAnsi="Calibri" w:cs="Calibri"/>
                <w:sz w:val="24"/>
                <w:szCs w:val="24"/>
              </w:rPr>
              <w:t>P</w:t>
            </w:r>
            <w:r w:rsidR="006D7FBE">
              <w:rPr>
                <w:rFonts w:ascii="Calibri" w:hAnsi="Calibri" w:cs="Calibri"/>
                <w:sz w:val="24"/>
                <w:szCs w:val="24"/>
              </w:rPr>
              <w:t xml:space="preserve">rocedure </w:t>
            </w:r>
            <w:r w:rsidR="00CE02D0">
              <w:rPr>
                <w:rFonts w:ascii="Calibri" w:hAnsi="Calibri" w:cs="Calibri"/>
                <w:sz w:val="24"/>
                <w:szCs w:val="24"/>
              </w:rPr>
              <w:t xml:space="preserve">hematologische </w:t>
            </w:r>
            <w:r w:rsidR="002B43B2">
              <w:rPr>
                <w:rFonts w:ascii="Calibri" w:hAnsi="Calibri" w:cs="Calibri"/>
                <w:sz w:val="24"/>
                <w:szCs w:val="24"/>
              </w:rPr>
              <w:t>richtlijnen</w:t>
            </w:r>
            <w:r w:rsidR="006D7FB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9497" w:type="dxa"/>
          </w:tcPr>
          <w:p w14:paraId="0916C7F7" w14:textId="5A5CA6B8" w:rsidR="003F2301" w:rsidRDefault="003F2301" w:rsidP="003F23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Bij </w:t>
            </w:r>
            <w:r w:rsidR="00D6308B">
              <w:rPr>
                <w:rFonts w:ascii="Calibri" w:hAnsi="Calibri" w:cs="Calibri"/>
                <w:sz w:val="24"/>
                <w:szCs w:val="24"/>
              </w:rPr>
              <w:t xml:space="preserve">aanvang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willen we u alvast attenderen </w:t>
            </w:r>
            <w:r w:rsidR="00D6308B">
              <w:rPr>
                <w:rFonts w:ascii="Calibri" w:hAnsi="Calibri" w:cs="Calibri"/>
                <w:sz w:val="24"/>
                <w:szCs w:val="24"/>
              </w:rPr>
              <w:t>op het volgende:</w:t>
            </w:r>
          </w:p>
          <w:p w14:paraId="4B12BD4E" w14:textId="77777777" w:rsidR="003F2301" w:rsidRDefault="003F2301" w:rsidP="003F23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70DC0B" w14:textId="19618C0C" w:rsidR="00D847A3" w:rsidRPr="00D847A3" w:rsidRDefault="00D847A3" w:rsidP="00D847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 besturen van NVvH en HOVON vinden het n</w:t>
            </w:r>
            <w:r w:rsidRPr="00D847A3">
              <w:rPr>
                <w:rFonts w:ascii="Calibri" w:hAnsi="Calibri" w:cs="Calibri"/>
                <w:sz w:val="24"/>
                <w:szCs w:val="24"/>
              </w:rPr>
              <w:t xml:space="preserve">iet wenselijk dat hematologen deelnemen aan nationale adviesraden of tegen vergoeding participeren aan door of voor de farmaceutische </w:t>
            </w:r>
            <w:r w:rsidRPr="00D847A3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industrie georganiseerde bijeenkomsten die niet primair gericht zijn op scholing of wetenschappelijk onderzoek. </w:t>
            </w:r>
          </w:p>
          <w:p w14:paraId="6279AE5A" w14:textId="77777777" w:rsidR="003F2301" w:rsidRDefault="003F2301" w:rsidP="003F230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84B3201" w14:textId="55136FB1" w:rsidR="003F2301" w:rsidRPr="00250E91" w:rsidRDefault="00D6308B" w:rsidP="00D342F7">
            <w:pPr>
              <w:rPr>
                <w:rFonts w:ascii="Calibri" w:hAnsi="Calibri" w:cs="Calibri"/>
                <w:sz w:val="24"/>
                <w:szCs w:val="24"/>
              </w:rPr>
            </w:pPr>
            <w:r w:rsidRPr="00D6308B">
              <w:rPr>
                <w:rFonts w:ascii="Calibri" w:hAnsi="Calibri" w:cs="Calibri"/>
                <w:sz w:val="24"/>
                <w:szCs w:val="24"/>
              </w:rPr>
              <w:t xml:space="preserve">Een </w:t>
            </w:r>
            <w:r w:rsidR="00D342F7">
              <w:rPr>
                <w:rFonts w:ascii="Calibri" w:hAnsi="Calibri" w:cs="Calibri"/>
                <w:sz w:val="24"/>
                <w:szCs w:val="24"/>
              </w:rPr>
              <w:t xml:space="preserve">kort </w:t>
            </w:r>
            <w:r w:rsidRPr="00D6308B">
              <w:rPr>
                <w:rFonts w:ascii="Calibri" w:hAnsi="Calibri" w:cs="Calibri"/>
                <w:sz w:val="24"/>
                <w:szCs w:val="24"/>
              </w:rPr>
              <w:t xml:space="preserve">belangenoverzicht dient vermeld te worden </w:t>
            </w:r>
            <w:r w:rsidR="00DA5A39">
              <w:rPr>
                <w:rFonts w:ascii="Calibri" w:hAnsi="Calibri" w:cs="Calibri"/>
                <w:sz w:val="24"/>
                <w:szCs w:val="24"/>
              </w:rPr>
              <w:t xml:space="preserve">op de daarvoor aangegeven plaatsen </w:t>
            </w:r>
            <w:r w:rsidRPr="00D6308B">
              <w:rPr>
                <w:rFonts w:ascii="Calibri" w:hAnsi="Calibri" w:cs="Calibri"/>
                <w:sz w:val="24"/>
                <w:szCs w:val="24"/>
              </w:rPr>
              <w:t>in de conceptrichtlijn die ter commentaar en autorisatie wordt aangeboden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D6308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A5A39">
              <w:rPr>
                <w:rFonts w:ascii="Calibri" w:hAnsi="Calibri" w:cs="Calibri"/>
                <w:sz w:val="24"/>
                <w:szCs w:val="24"/>
              </w:rPr>
              <w:t xml:space="preserve">Daarnaast vullen alle leden van de richtlijnwerkgroep </w:t>
            </w:r>
            <w:r w:rsidR="00BA4350">
              <w:rPr>
                <w:rFonts w:ascii="Calibri" w:hAnsi="Calibri" w:cs="Calibri"/>
                <w:sz w:val="24"/>
                <w:szCs w:val="24"/>
              </w:rPr>
              <w:t xml:space="preserve">de KNMG belangenverklaring in </w:t>
            </w:r>
            <w:r w:rsidR="00DA5A39">
              <w:rPr>
                <w:rFonts w:ascii="Calibri" w:hAnsi="Calibri" w:cs="Calibri"/>
                <w:sz w:val="24"/>
                <w:szCs w:val="24"/>
              </w:rPr>
              <w:t xml:space="preserve"> over de afgelopen 3 jaar en </w:t>
            </w:r>
            <w:r w:rsidR="00D342F7">
              <w:rPr>
                <w:rFonts w:ascii="Calibri" w:hAnsi="Calibri" w:cs="Calibri"/>
                <w:sz w:val="24"/>
                <w:szCs w:val="24"/>
              </w:rPr>
              <w:t xml:space="preserve">wordt deze door de richtlijn voorzitter gebundeld aangeboden bij de conceptrichtlijn. </w:t>
            </w:r>
            <w:r w:rsidR="003F2301">
              <w:rPr>
                <w:rFonts w:ascii="Calibri" w:hAnsi="Calibri" w:cs="Calibri"/>
                <w:sz w:val="24"/>
                <w:szCs w:val="24"/>
              </w:rPr>
              <w:t>Bij een revisie worden de</w:t>
            </w:r>
            <w:r w:rsidR="00D342F7">
              <w:rPr>
                <w:rFonts w:ascii="Calibri" w:hAnsi="Calibri" w:cs="Calibri"/>
                <w:sz w:val="24"/>
                <w:szCs w:val="24"/>
              </w:rPr>
              <w:t xml:space="preserve"> belangen</w:t>
            </w:r>
            <w:r w:rsidR="00EC6ED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F2301" w:rsidRPr="003F2301">
              <w:rPr>
                <w:rFonts w:ascii="Calibri" w:hAnsi="Calibri" w:cs="Calibri"/>
                <w:sz w:val="24"/>
                <w:szCs w:val="24"/>
              </w:rPr>
              <w:t>geüpdatet</w:t>
            </w:r>
            <w:r w:rsidR="003F2301">
              <w:rPr>
                <w:rFonts w:ascii="Calibri" w:hAnsi="Calibri" w:cs="Calibri"/>
                <w:sz w:val="24"/>
                <w:szCs w:val="24"/>
              </w:rPr>
              <w:t>.</w:t>
            </w:r>
            <w:r w:rsidR="004942E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C6ED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50E91" w:rsidRPr="00250E91" w14:paraId="5E8D2658" w14:textId="77777777" w:rsidTr="00084752">
        <w:tc>
          <w:tcPr>
            <w:tcW w:w="3823" w:type="dxa"/>
          </w:tcPr>
          <w:p w14:paraId="41A7D83C" w14:textId="5DFC52E7" w:rsidR="00250E91" w:rsidRDefault="00250E91" w:rsidP="00250E91">
            <w:pPr>
              <w:rPr>
                <w:rFonts w:ascii="Calibri" w:hAnsi="Calibri" w:cs="Calibri"/>
                <w:sz w:val="24"/>
                <w:szCs w:val="24"/>
              </w:rPr>
            </w:pPr>
            <w:r w:rsidRPr="00250E91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Indien revisie van bestaande </w:t>
            </w:r>
            <w:r w:rsidR="00BA4350">
              <w:rPr>
                <w:rFonts w:ascii="Calibri" w:hAnsi="Calibri" w:cs="Calibri"/>
                <w:sz w:val="24"/>
                <w:szCs w:val="24"/>
              </w:rPr>
              <w:t>r</w:t>
            </w:r>
            <w:r w:rsidRPr="00250E91">
              <w:rPr>
                <w:rFonts w:ascii="Calibri" w:hAnsi="Calibri" w:cs="Calibri"/>
                <w:sz w:val="24"/>
                <w:szCs w:val="24"/>
              </w:rPr>
              <w:t>ichtlijn</w:t>
            </w:r>
            <w:r w:rsidR="00EE329C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250E91">
              <w:rPr>
                <w:rFonts w:ascii="Calibri" w:hAnsi="Calibri" w:cs="Calibri"/>
                <w:sz w:val="24"/>
                <w:szCs w:val="24"/>
              </w:rPr>
              <w:t>welke onderdelen worden aangepast?</w:t>
            </w:r>
            <w:r w:rsidR="00D6308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4DB3710" w14:textId="654C3CFA" w:rsidR="00DB75E1" w:rsidRPr="00250E91" w:rsidRDefault="00DB75E1" w:rsidP="00250E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97" w:type="dxa"/>
          </w:tcPr>
          <w:p w14:paraId="68DC17E2" w14:textId="15CC2DA8" w:rsidR="00250E91" w:rsidRPr="00D6308B" w:rsidRDefault="00D6308B" w:rsidP="00D6308B">
            <w:pPr>
              <w:pStyle w:val="Lijstalinea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Voeg </w:t>
            </w:r>
            <w:r w:rsidRPr="00D6308B">
              <w:rPr>
                <w:rFonts w:ascii="Calibri" w:hAnsi="Calibri" w:cs="Calibri"/>
                <w:sz w:val="24"/>
                <w:szCs w:val="24"/>
              </w:rPr>
              <w:t>een samenvatting en/of mutatielijs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 </w:t>
            </w:r>
            <w:r w:rsidR="00084752">
              <w:rPr>
                <w:rFonts w:ascii="Calibri" w:hAnsi="Calibri" w:cs="Calibri"/>
                <w:sz w:val="24"/>
                <w:szCs w:val="24"/>
              </w:rPr>
              <w:t xml:space="preserve">bij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50E91" w:rsidRPr="00250E91" w14:paraId="249306D3" w14:textId="77777777" w:rsidTr="00084752">
        <w:tc>
          <w:tcPr>
            <w:tcW w:w="3823" w:type="dxa"/>
          </w:tcPr>
          <w:p w14:paraId="4E2DF52D" w14:textId="1B99474D" w:rsidR="00250E91" w:rsidRDefault="00250E91" w:rsidP="00250E91">
            <w:pPr>
              <w:rPr>
                <w:rFonts w:ascii="Calibri" w:hAnsi="Calibri" w:cs="Calibri"/>
                <w:sz w:val="24"/>
                <w:szCs w:val="24"/>
              </w:rPr>
            </w:pPr>
            <w:r w:rsidRPr="00250E91">
              <w:rPr>
                <w:rFonts w:ascii="Calibri" w:hAnsi="Calibri" w:cs="Calibri"/>
                <w:sz w:val="24"/>
                <w:szCs w:val="24"/>
              </w:rPr>
              <w:t>Verwachte datum wanneer de richtlijn</w:t>
            </w:r>
            <w:r>
              <w:rPr>
                <w:rFonts w:ascii="Calibri" w:hAnsi="Calibri" w:cs="Calibri"/>
                <w:sz w:val="24"/>
                <w:szCs w:val="24"/>
              </w:rPr>
              <w:t>(revisie)</w:t>
            </w:r>
            <w:r w:rsidRPr="00250E91">
              <w:rPr>
                <w:rFonts w:ascii="Calibri" w:hAnsi="Calibri" w:cs="Calibri"/>
                <w:sz w:val="24"/>
                <w:szCs w:val="24"/>
              </w:rPr>
              <w:t xml:space="preserve"> gereed is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  <w:p w14:paraId="6804F7BA" w14:textId="5044AD08" w:rsidR="00DB75E1" w:rsidRPr="00250E91" w:rsidRDefault="00DB75E1" w:rsidP="00250E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97" w:type="dxa"/>
          </w:tcPr>
          <w:p w14:paraId="21A07AC8" w14:textId="77777777" w:rsidR="00250E91" w:rsidRPr="00250E91" w:rsidRDefault="00250E91" w:rsidP="00250E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0E91" w:rsidRPr="00250E91" w14:paraId="703119C8" w14:textId="77777777" w:rsidTr="00084752">
        <w:tc>
          <w:tcPr>
            <w:tcW w:w="3823" w:type="dxa"/>
          </w:tcPr>
          <w:p w14:paraId="3779A106" w14:textId="200DE13C" w:rsidR="00250E91" w:rsidRPr="00250E91" w:rsidRDefault="00BA4350" w:rsidP="00250E9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Ondersteuning </w:t>
            </w:r>
          </w:p>
        </w:tc>
        <w:tc>
          <w:tcPr>
            <w:tcW w:w="9497" w:type="dxa"/>
          </w:tcPr>
          <w:p w14:paraId="48C8C0FD" w14:textId="248E9F62" w:rsidR="00BA4350" w:rsidRPr="00BA4350" w:rsidRDefault="00BA4350" w:rsidP="00BA4350">
            <w:pPr>
              <w:rPr>
                <w:rFonts w:ascii="Calibri" w:hAnsi="Calibri" w:cs="Calibri"/>
                <w:sz w:val="24"/>
                <w:szCs w:val="24"/>
              </w:rPr>
            </w:pPr>
            <w:r w:rsidRPr="00BA4350">
              <w:rPr>
                <w:rFonts w:ascii="Calibri" w:hAnsi="Calibri" w:cs="Calibri"/>
                <w:sz w:val="24"/>
                <w:szCs w:val="24"/>
              </w:rPr>
              <w:t>Ter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A4350">
              <w:rPr>
                <w:rFonts w:ascii="Calibri" w:hAnsi="Calibri" w:cs="Calibri"/>
                <w:sz w:val="24"/>
                <w:szCs w:val="24"/>
              </w:rPr>
              <w:t xml:space="preserve">administratieve ondersteuning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stelt de NVvH </w:t>
            </w:r>
            <w:r w:rsidRPr="00BA4350">
              <w:rPr>
                <w:rFonts w:ascii="Calibri" w:hAnsi="Calibri" w:cs="Calibri"/>
                <w:sz w:val="24"/>
                <w:szCs w:val="24"/>
              </w:rPr>
              <w:t>€5000 per ziekte specifieke werkgroep beschikbaar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E05A6">
              <w:rPr>
                <w:rFonts w:ascii="Calibri" w:hAnsi="Calibri" w:cs="Calibri"/>
                <w:sz w:val="24"/>
                <w:szCs w:val="24"/>
              </w:rPr>
              <w:t xml:space="preserve">voor </w:t>
            </w:r>
            <w:r w:rsidRPr="00BA4350">
              <w:rPr>
                <w:rFonts w:ascii="Calibri" w:hAnsi="Calibri" w:cs="Calibri"/>
                <w:sz w:val="24"/>
                <w:szCs w:val="24"/>
              </w:rPr>
              <w:t>een nieuwe richtlijn of grote aanpassingen in een bestaande richtlijn</w:t>
            </w:r>
            <w:r w:rsidR="00EE05A6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Dit is </w:t>
            </w:r>
            <w:r w:rsidRPr="00BA4350">
              <w:rPr>
                <w:rFonts w:ascii="Calibri" w:hAnsi="Calibri" w:cs="Calibri"/>
                <w:sz w:val="24"/>
                <w:szCs w:val="24"/>
              </w:rPr>
              <w:t xml:space="preserve">bestemd voor </w:t>
            </w:r>
            <w:r w:rsidR="006D7FBE">
              <w:rPr>
                <w:rFonts w:ascii="Calibri" w:hAnsi="Calibri" w:cs="Calibri"/>
                <w:sz w:val="24"/>
                <w:szCs w:val="24"/>
              </w:rPr>
              <w:t xml:space="preserve">o.a. </w:t>
            </w:r>
            <w:r w:rsidRPr="00BA4350">
              <w:rPr>
                <w:rFonts w:ascii="Calibri" w:hAnsi="Calibri" w:cs="Calibri"/>
                <w:sz w:val="24"/>
                <w:szCs w:val="24"/>
              </w:rPr>
              <w:t>systematische literatuuranalyse, secretariële werkzaamheden,</w:t>
            </w:r>
          </w:p>
          <w:p w14:paraId="14AEFFB4" w14:textId="68AB6D60" w:rsidR="00250E91" w:rsidRDefault="00BA4350" w:rsidP="00BA4350">
            <w:pPr>
              <w:rPr>
                <w:rFonts w:ascii="Calibri" w:hAnsi="Calibri" w:cs="Calibri"/>
                <w:sz w:val="24"/>
                <w:szCs w:val="24"/>
              </w:rPr>
            </w:pPr>
            <w:r w:rsidRPr="00BA4350">
              <w:rPr>
                <w:rFonts w:ascii="Calibri" w:hAnsi="Calibri" w:cs="Calibri"/>
                <w:sz w:val="24"/>
                <w:szCs w:val="24"/>
              </w:rPr>
              <w:t>etc. Aanvraag voor deze ondersteuning wordt via de</w:t>
            </w:r>
            <w:r w:rsidR="002B43B2">
              <w:rPr>
                <w:rFonts w:ascii="Calibri" w:hAnsi="Calibri" w:cs="Calibri"/>
                <w:sz w:val="24"/>
                <w:szCs w:val="24"/>
              </w:rPr>
              <w:t xml:space="preserve"> richtlijn</w:t>
            </w:r>
            <w:r w:rsidRPr="00BA4350">
              <w:rPr>
                <w:rFonts w:ascii="Calibri" w:hAnsi="Calibri" w:cs="Calibri"/>
                <w:sz w:val="24"/>
                <w:szCs w:val="24"/>
              </w:rPr>
              <w:t>werkgroep voorzitter gedaan.</w:t>
            </w:r>
          </w:p>
          <w:p w14:paraId="50232AE3" w14:textId="2940DAAB" w:rsidR="00BA4350" w:rsidRPr="00250E91" w:rsidRDefault="00BA4350" w:rsidP="00BA43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535AEAE" w14:textId="77777777" w:rsidR="00F80523" w:rsidRDefault="00F80523" w:rsidP="00250E91">
      <w:pPr>
        <w:rPr>
          <w:rFonts w:ascii="Calibri" w:hAnsi="Calibri" w:cs="Calibri"/>
          <w:sz w:val="24"/>
          <w:szCs w:val="24"/>
        </w:rPr>
      </w:pPr>
    </w:p>
    <w:p w14:paraId="18AC30F8" w14:textId="31AC9750" w:rsidR="00067EDD" w:rsidRPr="00531DDE" w:rsidRDefault="00067EDD" w:rsidP="00250E91">
      <w:pPr>
        <w:rPr>
          <w:rFonts w:ascii="Calibri" w:hAnsi="Calibri" w:cs="Calibri"/>
          <w:sz w:val="28"/>
          <w:szCs w:val="28"/>
        </w:rPr>
      </w:pPr>
      <w:r w:rsidRPr="00531DDE">
        <w:rPr>
          <w:rFonts w:ascii="Calibri" w:hAnsi="Calibri" w:cs="Calibri"/>
          <w:sz w:val="28"/>
          <w:szCs w:val="28"/>
        </w:rPr>
        <w:t>Bijlagen:</w:t>
      </w:r>
    </w:p>
    <w:p w14:paraId="2D46D678" w14:textId="0A33C082" w:rsidR="009119F5" w:rsidRDefault="005A7E3E" w:rsidP="00067EDD">
      <w:pPr>
        <w:pStyle w:val="Lijstalinea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Richtlijn - </w:t>
      </w:r>
      <w:r w:rsidR="006D7FBE">
        <w:rPr>
          <w:rFonts w:ascii="Calibri" w:hAnsi="Calibri" w:cs="Calibri"/>
          <w:sz w:val="28"/>
          <w:szCs w:val="28"/>
        </w:rPr>
        <w:t xml:space="preserve">Procedure </w:t>
      </w:r>
      <w:r w:rsidR="00B5650D">
        <w:rPr>
          <w:rFonts w:ascii="Calibri" w:hAnsi="Calibri" w:cs="Calibri"/>
          <w:sz w:val="28"/>
          <w:szCs w:val="28"/>
        </w:rPr>
        <w:t>h</w:t>
      </w:r>
      <w:r>
        <w:rPr>
          <w:rFonts w:ascii="Calibri" w:hAnsi="Calibri" w:cs="Calibri"/>
          <w:sz w:val="28"/>
          <w:szCs w:val="28"/>
        </w:rPr>
        <w:t xml:space="preserve">ematologische </w:t>
      </w:r>
      <w:r w:rsidR="006D7FBE">
        <w:rPr>
          <w:rFonts w:ascii="Calibri" w:hAnsi="Calibri" w:cs="Calibri"/>
          <w:sz w:val="28"/>
          <w:szCs w:val="28"/>
        </w:rPr>
        <w:t>richtlijnen</w:t>
      </w:r>
    </w:p>
    <w:p w14:paraId="15FFADBA" w14:textId="77777777" w:rsidR="009C0A37" w:rsidRPr="009C0A37" w:rsidRDefault="009C0A37" w:rsidP="009C0A37">
      <w:pPr>
        <w:pStyle w:val="Lijstalinea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 w:rsidRPr="009C0A37">
        <w:rPr>
          <w:rFonts w:ascii="Calibri" w:hAnsi="Calibri" w:cs="Calibri"/>
          <w:sz w:val="28"/>
          <w:szCs w:val="28"/>
        </w:rPr>
        <w:t xml:space="preserve">Richtlijn - Invulformat modulaire hematologische richtlijn </w:t>
      </w:r>
    </w:p>
    <w:p w14:paraId="7BE096D5" w14:textId="0CBF694F" w:rsidR="00067EDD" w:rsidRPr="00531DDE" w:rsidRDefault="005A7E3E" w:rsidP="00067EDD">
      <w:pPr>
        <w:pStyle w:val="Lijstalinea"/>
        <w:numPr>
          <w:ilvl w:val="0"/>
          <w:numId w:val="1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Richtlijn </w:t>
      </w:r>
      <w:r w:rsidR="0024490D">
        <w:rPr>
          <w:rFonts w:ascii="Calibri" w:hAnsi="Calibri" w:cs="Calibri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 xml:space="preserve"> </w:t>
      </w:r>
      <w:r w:rsidR="002E2546">
        <w:rPr>
          <w:rFonts w:ascii="Calibri" w:hAnsi="Calibri" w:cs="Calibri"/>
          <w:sz w:val="28"/>
          <w:szCs w:val="28"/>
        </w:rPr>
        <w:t>B</w:t>
      </w:r>
      <w:r w:rsidR="00067EDD" w:rsidRPr="00531DDE">
        <w:rPr>
          <w:rFonts w:ascii="Calibri" w:hAnsi="Calibri" w:cs="Calibri"/>
          <w:sz w:val="28"/>
          <w:szCs w:val="28"/>
        </w:rPr>
        <w:t>elangenverklaring</w:t>
      </w:r>
      <w:r w:rsidR="002E2546">
        <w:rPr>
          <w:rFonts w:ascii="Calibri" w:hAnsi="Calibri" w:cs="Calibri"/>
          <w:sz w:val="28"/>
          <w:szCs w:val="28"/>
        </w:rPr>
        <w:t xml:space="preserve"> </w:t>
      </w:r>
      <w:r w:rsidR="0024490D">
        <w:rPr>
          <w:rFonts w:ascii="Calibri" w:hAnsi="Calibri" w:cs="Calibri"/>
          <w:sz w:val="28"/>
          <w:szCs w:val="28"/>
        </w:rPr>
        <w:t>KNMG</w:t>
      </w:r>
    </w:p>
    <w:p w14:paraId="343C4F6C" w14:textId="1B91B2E4" w:rsidR="00232CFE" w:rsidRPr="00E7257B" w:rsidRDefault="005A7E3E" w:rsidP="004A2672">
      <w:pPr>
        <w:pStyle w:val="Lijstalinea"/>
        <w:numPr>
          <w:ilvl w:val="0"/>
          <w:numId w:val="10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8"/>
          <w:szCs w:val="28"/>
        </w:rPr>
        <w:t xml:space="preserve">Richtlijn - </w:t>
      </w:r>
      <w:r w:rsidR="0099560C" w:rsidRPr="00084752">
        <w:rPr>
          <w:rFonts w:ascii="Calibri" w:hAnsi="Calibri" w:cs="Calibri"/>
          <w:sz w:val="28"/>
          <w:szCs w:val="28"/>
        </w:rPr>
        <w:t xml:space="preserve">Advies opnemen van tabellen en figuren in hematologische richtlijnen </w:t>
      </w:r>
    </w:p>
    <w:p w14:paraId="5B2B0506" w14:textId="1C10B8AF" w:rsidR="00D6308B" w:rsidRPr="00423EAD" w:rsidRDefault="00423EAD" w:rsidP="00A1412A">
      <w:pPr>
        <w:pStyle w:val="Lijstalinea"/>
        <w:numPr>
          <w:ilvl w:val="0"/>
          <w:numId w:val="10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8"/>
          <w:szCs w:val="28"/>
        </w:rPr>
        <w:t xml:space="preserve">Richtlijn - </w:t>
      </w:r>
      <w:r w:rsidR="00E7257B" w:rsidRPr="00423EAD">
        <w:rPr>
          <w:rFonts w:ascii="Calibri" w:hAnsi="Calibri" w:cs="Calibri"/>
          <w:sz w:val="28"/>
          <w:szCs w:val="28"/>
        </w:rPr>
        <w:t xml:space="preserve">Declaratieformulier </w:t>
      </w:r>
    </w:p>
    <w:sectPr w:rsidR="00D6308B" w:rsidRPr="00423EAD" w:rsidSect="00E75E6E">
      <w:headerReference w:type="default" r:id="rId11"/>
      <w:footerReference w:type="default" r:id="rId12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0FEA" w14:textId="77777777" w:rsidR="00923635" w:rsidRDefault="00923635" w:rsidP="00B80C83">
      <w:pPr>
        <w:spacing w:after="0" w:line="240" w:lineRule="auto"/>
      </w:pPr>
      <w:r>
        <w:separator/>
      </w:r>
    </w:p>
  </w:endnote>
  <w:endnote w:type="continuationSeparator" w:id="0">
    <w:p w14:paraId="70F55885" w14:textId="77777777" w:rsidR="00923635" w:rsidRDefault="00923635" w:rsidP="00B80C83">
      <w:pPr>
        <w:spacing w:after="0" w:line="240" w:lineRule="auto"/>
      </w:pPr>
      <w:r>
        <w:continuationSeparator/>
      </w:r>
    </w:p>
  </w:endnote>
  <w:endnote w:type="continuationNotice" w:id="1">
    <w:p w14:paraId="4F5983DD" w14:textId="77777777" w:rsidR="00923635" w:rsidRDefault="009236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278340"/>
      <w:docPartObj>
        <w:docPartGallery w:val="Page Numbers (Bottom of Page)"/>
        <w:docPartUnique/>
      </w:docPartObj>
    </w:sdtPr>
    <w:sdtContent>
      <w:p w14:paraId="62FCF76C" w14:textId="3EE95944" w:rsidR="00E75E6E" w:rsidRDefault="00E75E6E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0EDD9D7" wp14:editId="6315D29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594168939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AF4E2" w14:textId="77777777" w:rsidR="00E75E6E" w:rsidRDefault="00E75E6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0EDD9D7" id="Rechthoek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FCAF4E2" w14:textId="77777777" w:rsidR="00E75E6E" w:rsidRDefault="00E75E6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63D6" w14:textId="77777777" w:rsidR="00923635" w:rsidRDefault="00923635" w:rsidP="00B80C83">
      <w:pPr>
        <w:spacing w:after="0" w:line="240" w:lineRule="auto"/>
      </w:pPr>
      <w:r>
        <w:separator/>
      </w:r>
    </w:p>
  </w:footnote>
  <w:footnote w:type="continuationSeparator" w:id="0">
    <w:p w14:paraId="1BC8C79F" w14:textId="77777777" w:rsidR="00923635" w:rsidRDefault="00923635" w:rsidP="00B80C83">
      <w:pPr>
        <w:spacing w:after="0" w:line="240" w:lineRule="auto"/>
      </w:pPr>
      <w:r>
        <w:continuationSeparator/>
      </w:r>
    </w:p>
  </w:footnote>
  <w:footnote w:type="continuationNotice" w:id="1">
    <w:p w14:paraId="6761A66D" w14:textId="77777777" w:rsidR="00923635" w:rsidRDefault="009236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31E3" w14:textId="7DDE8792" w:rsidR="00B80C83" w:rsidRDefault="00B80C83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001E849" wp14:editId="0551927E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4218940" cy="628015"/>
          <wp:effectExtent l="0" t="0" r="0" b="635"/>
          <wp:wrapTight wrapText="bothSides">
            <wp:wrapPolygon edited="0">
              <wp:start x="0" y="0"/>
              <wp:lineTo x="0" y="20967"/>
              <wp:lineTo x="21457" y="20967"/>
              <wp:lineTo x="21457" y="0"/>
              <wp:lineTo x="0" y="0"/>
            </wp:wrapPolygon>
          </wp:wrapTight>
          <wp:docPr id="187035697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9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E6E">
      <w:t xml:space="preserve">   </w:t>
    </w:r>
  </w:p>
  <w:p w14:paraId="7982642A" w14:textId="77777777" w:rsidR="00E75E6E" w:rsidRDefault="00E75E6E">
    <w:pPr>
      <w:pStyle w:val="Koptekst"/>
    </w:pPr>
  </w:p>
  <w:p w14:paraId="15C4E033" w14:textId="77777777" w:rsidR="00E75E6E" w:rsidRDefault="00E75E6E">
    <w:pPr>
      <w:pStyle w:val="Koptekst"/>
    </w:pPr>
  </w:p>
  <w:p w14:paraId="0A0CD22A" w14:textId="77777777" w:rsidR="00E75E6E" w:rsidRDefault="00E75E6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AF9"/>
    <w:multiLevelType w:val="multilevel"/>
    <w:tmpl w:val="F9F4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43249B"/>
    <w:multiLevelType w:val="multilevel"/>
    <w:tmpl w:val="EFBA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EC57FF"/>
    <w:multiLevelType w:val="hybridMultilevel"/>
    <w:tmpl w:val="27BE0F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16E9A"/>
    <w:multiLevelType w:val="multilevel"/>
    <w:tmpl w:val="A408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1B7BD0"/>
    <w:multiLevelType w:val="hybridMultilevel"/>
    <w:tmpl w:val="366AFE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1E777F"/>
    <w:multiLevelType w:val="hybridMultilevel"/>
    <w:tmpl w:val="D680AE28"/>
    <w:lvl w:ilvl="0" w:tplc="973AF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430C9"/>
    <w:multiLevelType w:val="hybridMultilevel"/>
    <w:tmpl w:val="7CB47D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6E43D1"/>
    <w:multiLevelType w:val="multilevel"/>
    <w:tmpl w:val="F81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6D559B"/>
    <w:multiLevelType w:val="multilevel"/>
    <w:tmpl w:val="A506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6A0BB4"/>
    <w:multiLevelType w:val="multilevel"/>
    <w:tmpl w:val="6F3C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689577">
    <w:abstractNumId w:val="8"/>
  </w:num>
  <w:num w:numId="2" w16cid:durableId="894438733">
    <w:abstractNumId w:val="7"/>
  </w:num>
  <w:num w:numId="3" w16cid:durableId="447362116">
    <w:abstractNumId w:val="3"/>
  </w:num>
  <w:num w:numId="4" w16cid:durableId="1395392960">
    <w:abstractNumId w:val="0"/>
  </w:num>
  <w:num w:numId="5" w16cid:durableId="1406413055">
    <w:abstractNumId w:val="9"/>
  </w:num>
  <w:num w:numId="6" w16cid:durableId="1840920544">
    <w:abstractNumId w:val="1"/>
  </w:num>
  <w:num w:numId="7" w16cid:durableId="1896313702">
    <w:abstractNumId w:val="2"/>
  </w:num>
  <w:num w:numId="8" w16cid:durableId="30766948">
    <w:abstractNumId w:val="4"/>
  </w:num>
  <w:num w:numId="9" w16cid:durableId="625045766">
    <w:abstractNumId w:val="6"/>
  </w:num>
  <w:num w:numId="10" w16cid:durableId="503865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83"/>
    <w:rsid w:val="000255CA"/>
    <w:rsid w:val="00037412"/>
    <w:rsid w:val="00056042"/>
    <w:rsid w:val="00061498"/>
    <w:rsid w:val="000614C5"/>
    <w:rsid w:val="0006733B"/>
    <w:rsid w:val="00067EDD"/>
    <w:rsid w:val="00084752"/>
    <w:rsid w:val="000C75D2"/>
    <w:rsid w:val="000E46D3"/>
    <w:rsid w:val="00154D05"/>
    <w:rsid w:val="00174F9C"/>
    <w:rsid w:val="001C3CA9"/>
    <w:rsid w:val="001D4AFC"/>
    <w:rsid w:val="001E4A74"/>
    <w:rsid w:val="00203A8A"/>
    <w:rsid w:val="00204502"/>
    <w:rsid w:val="00232CFE"/>
    <w:rsid w:val="00243BE0"/>
    <w:rsid w:val="0024490D"/>
    <w:rsid w:val="00250E91"/>
    <w:rsid w:val="002A4BB0"/>
    <w:rsid w:val="002B43B2"/>
    <w:rsid w:val="002E2546"/>
    <w:rsid w:val="002E5E06"/>
    <w:rsid w:val="00315C22"/>
    <w:rsid w:val="003D1C9E"/>
    <w:rsid w:val="003F2301"/>
    <w:rsid w:val="003F7F2E"/>
    <w:rsid w:val="00423EAD"/>
    <w:rsid w:val="00436242"/>
    <w:rsid w:val="004942E2"/>
    <w:rsid w:val="004B69BD"/>
    <w:rsid w:val="004D50B2"/>
    <w:rsid w:val="004D5E84"/>
    <w:rsid w:val="005016DF"/>
    <w:rsid w:val="00531DDE"/>
    <w:rsid w:val="00594DE2"/>
    <w:rsid w:val="005A7E3E"/>
    <w:rsid w:val="006D7FBE"/>
    <w:rsid w:val="00870D28"/>
    <w:rsid w:val="008E2FFB"/>
    <w:rsid w:val="009119F5"/>
    <w:rsid w:val="00923635"/>
    <w:rsid w:val="00974312"/>
    <w:rsid w:val="0099560C"/>
    <w:rsid w:val="009C0A37"/>
    <w:rsid w:val="00AC4D10"/>
    <w:rsid w:val="00AE71AC"/>
    <w:rsid w:val="00AF0F01"/>
    <w:rsid w:val="00B0244A"/>
    <w:rsid w:val="00B5650D"/>
    <w:rsid w:val="00B80C83"/>
    <w:rsid w:val="00BA4350"/>
    <w:rsid w:val="00BC393C"/>
    <w:rsid w:val="00C33B8D"/>
    <w:rsid w:val="00C76992"/>
    <w:rsid w:val="00C95804"/>
    <w:rsid w:val="00CE02D0"/>
    <w:rsid w:val="00D065D4"/>
    <w:rsid w:val="00D342F7"/>
    <w:rsid w:val="00D61476"/>
    <w:rsid w:val="00D6308B"/>
    <w:rsid w:val="00D847A3"/>
    <w:rsid w:val="00D86F74"/>
    <w:rsid w:val="00D92EB8"/>
    <w:rsid w:val="00DA5A39"/>
    <w:rsid w:val="00DB75E1"/>
    <w:rsid w:val="00E7257B"/>
    <w:rsid w:val="00E75E6E"/>
    <w:rsid w:val="00EC6EDC"/>
    <w:rsid w:val="00ED64E8"/>
    <w:rsid w:val="00EE05A6"/>
    <w:rsid w:val="00EE329C"/>
    <w:rsid w:val="00F3236F"/>
    <w:rsid w:val="00F643CB"/>
    <w:rsid w:val="00F740EB"/>
    <w:rsid w:val="00F8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C678B"/>
  <w15:chartTrackingRefBased/>
  <w15:docId w15:val="{FC33BCDF-D36F-44AB-8137-BF0F3EBD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1DDE"/>
  </w:style>
  <w:style w:type="paragraph" w:styleId="Kop1">
    <w:name w:val="heading 1"/>
    <w:basedOn w:val="Standaard"/>
    <w:next w:val="Standaard"/>
    <w:link w:val="Kop1Char"/>
    <w:uiPriority w:val="9"/>
    <w:qFormat/>
    <w:rsid w:val="00B80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0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0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0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0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0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0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0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0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0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0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0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0C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0C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0C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0C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0C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0C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0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0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0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0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0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0C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0C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0C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0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0C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0C8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8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0C83"/>
  </w:style>
  <w:style w:type="paragraph" w:styleId="Voettekst">
    <w:name w:val="footer"/>
    <w:basedOn w:val="Standaard"/>
    <w:link w:val="VoettekstChar"/>
    <w:uiPriority w:val="99"/>
    <w:unhideWhenUsed/>
    <w:rsid w:val="00B80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0C83"/>
  </w:style>
  <w:style w:type="table" w:styleId="Tabelraster">
    <w:name w:val="Table Grid"/>
    <w:basedOn w:val="Standaardtabel"/>
    <w:uiPriority w:val="39"/>
    <w:rsid w:val="0025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6308B"/>
    <w:rPr>
      <w:color w:val="467886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D6308B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5A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A5A3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A5A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5A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5A3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5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5A39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243B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hematologienederland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D0C6235C1CF44995BB8EBB32EE358" ma:contentTypeVersion="19" ma:contentTypeDescription="Een nieuw document maken." ma:contentTypeScope="" ma:versionID="03d208eb4a3d0d0ba49577522bfdaede">
  <xsd:schema xmlns:xsd="http://www.w3.org/2001/XMLSchema" xmlns:xs="http://www.w3.org/2001/XMLSchema" xmlns:p="http://schemas.microsoft.com/office/2006/metadata/properties" xmlns:ns2="500c8133-7ad0-408b-afb1-f58600f2364d" xmlns:ns3="191299a0-7221-4a00-a903-e692c88eea4b" targetNamespace="http://schemas.microsoft.com/office/2006/metadata/properties" ma:root="true" ma:fieldsID="6e3400153948ac708e2f0f84cc18b2a3" ns2:_="" ns3:_="">
    <xsd:import namespace="500c8133-7ad0-408b-afb1-f58600f2364d"/>
    <xsd:import namespace="191299a0-7221-4a00-a903-e692c88eea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8133-7ad0-408b-afb1-f58600f236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3be93-407e-4041-aa3b-47bc015f8334}" ma:internalName="TaxCatchAll" ma:showField="CatchAllData" ma:web="500c8133-7ad0-408b-afb1-f58600f23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99a0-7221-4a00-a903-e692c88ee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535c092-297d-4d7b-b020-2a34c45c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c8133-7ad0-408b-afb1-f58600f2364d" xsi:nil="true"/>
    <lcf76f155ced4ddcb4097134ff3c332f xmlns="191299a0-7221-4a00-a903-e692c88eea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96EA5-31D2-49D6-85EA-E351073AF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c8133-7ad0-408b-afb1-f58600f2364d"/>
    <ds:schemaRef ds:uri="191299a0-7221-4a00-a903-e692c88ee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9AB33-A36A-45F7-A340-F08850B83AE8}">
  <ds:schemaRefs>
    <ds:schemaRef ds:uri="http://schemas.microsoft.com/office/2006/metadata/properties"/>
    <ds:schemaRef ds:uri="http://schemas.microsoft.com/office/infopath/2007/PartnerControls"/>
    <ds:schemaRef ds:uri="500c8133-7ad0-408b-afb1-f58600f2364d"/>
    <ds:schemaRef ds:uri="191299a0-7221-4a00-a903-e692c88eea4b"/>
  </ds:schemaRefs>
</ds:datastoreItem>
</file>

<file path=customXml/itemProps3.xml><?xml version="1.0" encoding="utf-8"?>
<ds:datastoreItem xmlns:ds="http://schemas.openxmlformats.org/officeDocument/2006/customXml" ds:itemID="{74EE6E86-8F82-410F-9FAE-2BCD1F767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L’Ortye, Mariëlle</dc:creator>
  <cp:keywords/>
  <dc:description/>
  <cp:lastModifiedBy>L’Ortye, Mariëlle</cp:lastModifiedBy>
  <cp:revision>13</cp:revision>
  <dcterms:created xsi:type="dcterms:W3CDTF">2025-04-30T09:04:00Z</dcterms:created>
  <dcterms:modified xsi:type="dcterms:W3CDTF">2025-04-30T09:50:00Z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0x0101000C2D0C6235C1CF44995BB8EBB32EE358</vt:lpwstr>
  </property>
  <property fmtid="{D5CDD505-2E9C-101B-9397-08002B2CF9AE}" pid="3" name="MediaServiceImageTags">
    <vt:lpwstr/>
  </property>
</Properties>
</file>